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山西大学重大合同审查及用印审批表</w:t>
      </w:r>
    </w:p>
    <w:tbl>
      <w:tblPr>
        <w:tblStyle w:val="2"/>
        <w:tblW w:w="9381" w:type="dxa"/>
        <w:jc w:val="center"/>
        <w:tblCellSpacing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141"/>
        <w:gridCol w:w="992"/>
        <w:gridCol w:w="1417"/>
        <w:gridCol w:w="1239"/>
        <w:gridCol w:w="2302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1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法人名章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szCs w:val="24"/>
              </w:rPr>
              <w:t>是否使用法人名章：□是       □否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主办单位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对合同的可行性、必要性分析论证；对合同的技术性条款（包括但不限于合同标的、合同价款、付款条件、验收条款、质量条款、违约责任等）进行审查；对合同相对方进行资信调查。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 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: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  <w:t>业务归口管理部门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审核合同相对方的主体资格、资信情况；审核合同事项的必要性、可行性、真实性、合理性；对合同内容及文本进行业务审核；审核合同基本条款的完备情况。</w:t>
            </w: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: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  <w:t>法律事务办公室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对合同进行合法性审查；对合同的法律条款进行审查；对履行合同的法律风险进行提示。</w:t>
            </w: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00" w:lineRule="atLeast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 xml:space="preserve"> 审查人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  <w:t>:</w:t>
            </w:r>
          </w:p>
          <w:p>
            <w:pPr>
              <w:spacing w:line="200" w:lineRule="atLeast"/>
              <w:rPr>
                <w:rFonts w:hint="eastAsia" w:ascii="仿宋" w:hAnsi="仿宋" w:eastAsia="仿宋" w:cs="仿宋"/>
                <w:b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主办单位分管校领导</w:t>
            </w: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业务归口管理部门分管校领导</w:t>
            </w:r>
          </w:p>
          <w:p>
            <w:pP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校长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tblCellSpacing w:w="0" w:type="dxa"/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80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b/>
                <w:color w:val="333333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NTViOGNkZGNkOWJhZmMyZDkxMGEwZTE3YWZlYmMifQ=="/>
  </w:docVars>
  <w:rsids>
    <w:rsidRoot w:val="5EF41FC2"/>
    <w:rsid w:val="5E9B5B97"/>
    <w:rsid w:val="5EF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2023-06-28T01:28:00Z</dcterms:created>
  <dc:creator>1109</dc:creator>
  <cp:lastModifiedBy>1109</cp:lastModifiedBy>
  <dcterms:modified xsi:type="dcterms:W3CDTF">2023-06-28T01:29:34Z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ED87F75A6678490EB3B0FEA3DCB1603E_11</vt:lpwstr>
  </property>
</Properties>
</file>